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6: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Joseph’s Ghetto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How did Jews attempt to resist in the Riga Ghetto?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To what extent was the resistance successful?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Myra’s Ghetto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Why did Myra choose, at one point, not to try to leave Lithuania?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How did she and Boleck attempt to escape eventually? What happened?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artifact from the Choices exhibit page, copy the guiding questions into the boxes below, and respond to them: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a second artifact from the Choices exhibit page, copy the guiding questions into the boxes below, and respond to them: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